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C50" w:rsidRDefault="00687C50">
      <w:pPr>
        <w:jc w:val="center"/>
        <w:rPr>
          <w:rFonts w:ascii="Times New Roman" w:eastAsia="方正小标宋简体" w:hAnsi="Times New Roman"/>
          <w:color w:val="000000"/>
          <w:kern w:val="0"/>
          <w:sz w:val="40"/>
          <w:szCs w:val="40"/>
        </w:rPr>
      </w:pPr>
      <w:r w:rsidRPr="00687C50">
        <w:rPr>
          <w:rFonts w:ascii="Times New Roman" w:eastAsia="方正小标宋简体" w:hAnsi="Times New Roman" w:hint="eastAsia"/>
          <w:color w:val="000000"/>
          <w:kern w:val="0"/>
          <w:sz w:val="40"/>
          <w:szCs w:val="40"/>
        </w:rPr>
        <w:t>南京市人民政府国有资产监督管理委员会</w:t>
      </w:r>
    </w:p>
    <w:p w:rsidR="00B13CF5" w:rsidRDefault="00687C50">
      <w:pPr>
        <w:jc w:val="center"/>
        <w:rPr>
          <w:rFonts w:ascii="Times New Roman" w:eastAsia="方正小标宋简体" w:hAnsi="Times New Roman"/>
          <w:color w:val="000000"/>
          <w:kern w:val="0"/>
          <w:sz w:val="40"/>
          <w:szCs w:val="40"/>
        </w:rPr>
      </w:pPr>
      <w:r w:rsidRPr="00687C50">
        <w:rPr>
          <w:rFonts w:ascii="Times New Roman" w:eastAsia="方正小标宋简体" w:hAnsi="Times New Roman" w:hint="eastAsia"/>
          <w:color w:val="000000"/>
          <w:kern w:val="0"/>
          <w:sz w:val="40"/>
          <w:szCs w:val="40"/>
        </w:rPr>
        <w:t>2023</w:t>
      </w:r>
      <w:r w:rsidRPr="00687C50">
        <w:rPr>
          <w:rFonts w:ascii="Times New Roman" w:eastAsia="方正小标宋简体" w:hAnsi="Times New Roman" w:hint="eastAsia"/>
          <w:color w:val="000000"/>
          <w:kern w:val="0"/>
          <w:sz w:val="40"/>
          <w:szCs w:val="40"/>
        </w:rPr>
        <w:t>年度</w:t>
      </w:r>
      <w:r w:rsidR="009B7BFE">
        <w:rPr>
          <w:rFonts w:ascii="Times New Roman" w:eastAsia="方正小标宋简体" w:hAnsi="Times New Roman"/>
          <w:color w:val="000000"/>
          <w:kern w:val="0"/>
          <w:sz w:val="40"/>
          <w:szCs w:val="40"/>
        </w:rPr>
        <w:t>部门整体</w:t>
      </w:r>
      <w:r w:rsidR="00331956">
        <w:rPr>
          <w:rFonts w:ascii="Times New Roman" w:eastAsia="方正小标宋简体" w:hAnsi="Times New Roman" w:hint="eastAsia"/>
          <w:color w:val="000000"/>
          <w:kern w:val="0"/>
          <w:sz w:val="40"/>
          <w:szCs w:val="40"/>
        </w:rPr>
        <w:t>支</w:t>
      </w:r>
      <w:r w:rsidR="00331956">
        <w:rPr>
          <w:rFonts w:ascii="Times New Roman" w:eastAsia="方正小标宋简体" w:hAnsi="Times New Roman"/>
          <w:color w:val="000000"/>
          <w:kern w:val="0"/>
          <w:sz w:val="40"/>
          <w:szCs w:val="40"/>
        </w:rPr>
        <w:t>出绩效自评</w:t>
      </w:r>
      <w:r w:rsidR="009B7BFE">
        <w:rPr>
          <w:rFonts w:ascii="Times New Roman" w:eastAsia="方正小标宋简体" w:hAnsi="Times New Roman"/>
          <w:color w:val="000000"/>
          <w:kern w:val="0"/>
          <w:sz w:val="40"/>
          <w:szCs w:val="40"/>
        </w:rPr>
        <w:t>指标体系</w:t>
      </w:r>
    </w:p>
    <w:p w:rsidR="007C47B6" w:rsidRPr="007C47B6" w:rsidRDefault="007C47B6">
      <w:pPr>
        <w:jc w:val="center"/>
        <w:rPr>
          <w:rFonts w:ascii="Times New Roman" w:eastAsia="方正小标宋简体" w:hAnsi="Times New Roman" w:hint="eastAsia"/>
          <w:color w:val="000000"/>
          <w:kern w:val="0"/>
          <w:sz w:val="40"/>
          <w:szCs w:val="40"/>
        </w:rPr>
      </w:pPr>
    </w:p>
    <w:tbl>
      <w:tblPr>
        <w:tblStyle w:val="a5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129"/>
        <w:gridCol w:w="567"/>
        <w:gridCol w:w="2410"/>
        <w:gridCol w:w="709"/>
        <w:gridCol w:w="3402"/>
        <w:gridCol w:w="708"/>
      </w:tblGrid>
      <w:tr w:rsidR="00B13CF5" w:rsidTr="00CA263C">
        <w:trPr>
          <w:trHeight w:val="540"/>
          <w:jc w:val="center"/>
        </w:trPr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  <w:t>一级指标</w:t>
            </w:r>
          </w:p>
        </w:tc>
        <w:tc>
          <w:tcPr>
            <w:tcW w:w="1134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  <w:t>二级指标</w:t>
            </w: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  <w:t>三级指标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  <w:t>权重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  <w:t>指标说明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  <w:t>指标值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  <w:t>评价标准</w:t>
            </w:r>
          </w:p>
        </w:tc>
        <w:tc>
          <w:tcPr>
            <w:tcW w:w="708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Cs w:val="21"/>
              </w:rPr>
              <w:t>得分</w:t>
            </w:r>
          </w:p>
        </w:tc>
      </w:tr>
      <w:tr w:rsidR="00B13CF5" w:rsidTr="00CA263C">
        <w:trPr>
          <w:trHeight w:val="1496"/>
          <w:jc w:val="center"/>
        </w:trPr>
        <w:tc>
          <w:tcPr>
            <w:tcW w:w="709" w:type="dxa"/>
            <w:vMerge w:val="restart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A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部门决策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(16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A1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决策机制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(6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A11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决策制度的规范性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考察部门决策制度是否符合规范，如：是否有重要事项决策制度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三重一大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事项决策制度等。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规范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部门是否有完善的如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三重一大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等重要事项决策制度。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决策制度的制定是否</w:t>
            </w:r>
            <w:bookmarkStart w:id="0" w:name="_GoBack"/>
            <w:bookmarkEnd w:id="0"/>
            <w:r>
              <w:rPr>
                <w:rFonts w:ascii="Times New Roman" w:eastAsia="方正仿宋_GBK" w:hAnsi="Times New Roman"/>
                <w:kern w:val="0"/>
                <w:szCs w:val="21"/>
              </w:rPr>
              <w:t>规范、科学。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480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 xml:space="preserve"> A12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决策执行有效性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考察部门决策是否按照决策制度及流程执行。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科学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部门是否按照决策制度执行决策流程，符合得对应权重分，否则不得分。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1811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A13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决策执行监督制衡机制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考察部门决策执行是否有相关的监督制衡机制，如：是否有内部有关部门对执行情况进行监督检查，是否引进外部监督如媒体、中介审计等监督主体。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有效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部门决策执行是否有相关监督机制制衡。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相关监督制衡机制制定是否科学、合理。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1270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A2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中长期规划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(6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A21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中长期规划明确性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考察部门是否编制中长期规划。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明确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部门是否编制中长期战略规划。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规划是否对总体目标、规划实施内容、时间有明确安排。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3</w:t>
            </w:r>
          </w:p>
        </w:tc>
      </w:tr>
      <w:tr w:rsidR="00B13CF5" w:rsidTr="00CA263C">
        <w:trPr>
          <w:trHeight w:val="1416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A22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中长期规划与部门职能的匹配性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考察部门的中长期规划是否与其部门职能相匹配，中长期规划任务是否能对应部门职能，明确责任到人。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匹配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中长期规划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(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或课题研究方向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是否均符合部门职能。符合条件得分，否则每有一项不符合扣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10%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权重分，扣完为止。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3</w:t>
            </w:r>
          </w:p>
        </w:tc>
      </w:tr>
      <w:tr w:rsidR="00B13CF5" w:rsidTr="00CA263C">
        <w:trPr>
          <w:trHeight w:val="1394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A</w:t>
            </w:r>
            <w:proofErr w:type="gramStart"/>
            <w:r>
              <w:rPr>
                <w:rFonts w:ascii="Times New Roman" w:eastAsia="方正仿宋_GBK" w:hAnsi="Times New Roman"/>
                <w:kern w:val="0"/>
                <w:szCs w:val="21"/>
              </w:rPr>
              <w:t>3</w:t>
            </w:r>
            <w:proofErr w:type="gramEnd"/>
            <w:r>
              <w:rPr>
                <w:rFonts w:ascii="Times New Roman" w:eastAsia="方正仿宋_GBK" w:hAnsi="Times New Roman"/>
                <w:kern w:val="0"/>
                <w:szCs w:val="21"/>
              </w:rPr>
              <w:t>年度工作计划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(4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A</w:t>
            </w:r>
            <w:proofErr w:type="gramStart"/>
            <w:r>
              <w:rPr>
                <w:rFonts w:ascii="Times New Roman" w:eastAsia="方正仿宋_GBK" w:hAnsi="Times New Roman"/>
                <w:kern w:val="0"/>
                <w:szCs w:val="21"/>
              </w:rPr>
              <w:t>31</w:t>
            </w:r>
            <w:proofErr w:type="gramEnd"/>
            <w:r>
              <w:rPr>
                <w:rFonts w:ascii="Times New Roman" w:eastAsia="方正仿宋_GBK" w:hAnsi="Times New Roman"/>
                <w:kern w:val="0"/>
                <w:szCs w:val="21"/>
              </w:rPr>
              <w:t>年度工作计划明确性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考察部门是否有明确的年度工作计划，当年计划安排是否对年度绩效目标、规划实施内容、时间有明确安排</w:t>
            </w:r>
            <w:r w:rsidR="00284FCD">
              <w:rPr>
                <w:rFonts w:ascii="Times New Roman" w:eastAsia="方正仿宋_GBK" w:hAnsi="Times New Roman"/>
                <w:kern w:val="0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明确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部门是否具有年度工作计划安排。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当年计划安排是否对年度绩效目标、规划实施内容、时间有明确安排。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1272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A</w:t>
            </w:r>
            <w:proofErr w:type="gramStart"/>
            <w:r>
              <w:rPr>
                <w:rFonts w:ascii="Times New Roman" w:eastAsia="方正仿宋_GBK" w:hAnsi="Times New Roman"/>
                <w:kern w:val="0"/>
                <w:szCs w:val="21"/>
              </w:rPr>
              <w:t>32</w:t>
            </w:r>
            <w:proofErr w:type="gramEnd"/>
            <w:r>
              <w:rPr>
                <w:rFonts w:ascii="Times New Roman" w:eastAsia="方正仿宋_GBK" w:hAnsi="Times New Roman"/>
                <w:kern w:val="0"/>
                <w:szCs w:val="21"/>
              </w:rPr>
              <w:t>年度工作计划与部门职能的匹配性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考察部门的年度工作计划是否与其部门职能相匹配，年度工作计划是否能对应部门职能，明确责任到人。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匹配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年度工作计划中的各项计划是否均符合部门职能。符合条件得分，否则每有一项不符合扣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20%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权重分，扣完为止。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1049"/>
          <w:jc w:val="center"/>
        </w:trPr>
        <w:tc>
          <w:tcPr>
            <w:tcW w:w="709" w:type="dxa"/>
            <w:vMerge w:val="restart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lastRenderedPageBreak/>
              <w:t>B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部门管理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(28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B1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预算执行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(6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B11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财政预算执行率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与市财政局预算处考核口径一致。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100%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部门预算执行率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=(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部门实际支出额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/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部门预算资金总额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)×100%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；专项资金预算执行率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=(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专项资金实际支出额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/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专项资金预算资金总额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)×100%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。以上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权重分，执行率达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100%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得对应权重分，否则按比例得分。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1537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B12“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三公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经费控制率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三公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经费使用超支扣分，若不超支则不扣分。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100%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三公经费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控制率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=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当年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三公经费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实际支出数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/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当年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三公经费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预算数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)×100%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。该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三公经费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包含安排在基本支出和项目支出中的资金。达到目标值得满分，否则按比例得分。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1276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B13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预决算信息公开情况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预决算是否在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双平台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进行公开，内容和时限是否符合要求。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规范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预算是否按要求及时公开。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决算是否按要求及时公开。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1831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B2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收支管理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(4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B21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收支管理制度健全性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考察部门收支管理制度是否健全，如：是否建立健全财务机构岗位责任制、货币资金管理制度、财产物资管理制度等。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健全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部门是否制定收支管理制度。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部门收支管理制度制定是否健全。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979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B22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收支管理是否按制度执行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考察部门收支管理是否按照制度执行，考察日常收支是否规范。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规范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部门按照收支管理制度执行收支管理得权重分，否则每发现不符合规范处扣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20%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权重分，扣完为止。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1262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B3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资产管理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B31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资产管理制度健全性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考察部门资产管理制度是否健全，是否建立资产配置、资产处置等方面的制度。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健全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部门是否制定有资产管理制度。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部门资产管理制度制定是否健全。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960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B32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资产管理是否按制度执行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考察部门资产管理是否按制度执行，是否按照规定对资产进行配置、处置等。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规范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部门按照资产管理制度执行资产管理得权重分，否则每发现不符合规范处扣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20%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权重分，扣完为止。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1200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政府采购管理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B41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政府采购管理制度健全性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考察部门政府采购管理制度是否健全，如：是否对政府采购业务预算、政府采购活动控制、政府采购验收等方面做出规定。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健全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部门是否制定政府采购管理制度。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部门政府管理制度制定是否健全。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1050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B42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政府采购管理是否按制度执行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考察部门政府采购管理是否按制度执行，如：是否按照规定编写政府采购业务预算、对政府采购项目进行验收等。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规范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部门按照政府采购管理制度执行政府采购得权重分，否则每发现不符合规范处，此项不得分。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839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内部控制管理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B51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内部控制建设情况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考察部门内控制度建立健全情况，是否编写一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lastRenderedPageBreak/>
              <w:t>整套完善的内控制度手册。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lastRenderedPageBreak/>
              <w:t>健全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部门是否制定内部管理控制制度。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部门内部管理控制制度是否健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lastRenderedPageBreak/>
              <w:t>全。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</w:tr>
      <w:tr w:rsidR="00B13CF5" w:rsidTr="00CA263C">
        <w:trPr>
          <w:trHeight w:val="720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B52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内部控制执行情况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考察部门内控制度执行情况，是否按照内部控制管理手册开展日常工作。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规范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部门按照内部控制制度执行内控管理得权重分，否则每发现不符合规范处扣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10%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权重分，扣完为止。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805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B6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预算绩效管理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(6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B61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组织管理情况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考察是否建立完善的考核指标体系，如：制度建设、职能配置的指标体系等。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规范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部门预算绩效管理是否制定有相应的制度。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部门是否针对部门职能建立相应的指标体系。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1208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B62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工作开展情况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考察绩效评价工作开展情况，如对专项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政策资金项目是否开展年初绩效目标申报、事前评估、跟踪评价、事后评价等工作。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规范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部门是否按要求开展目标管理。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部门是否按要求开展跟踪评价。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3.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部门是否按要求开展自评价。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4.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部门对于绩效评价结果是否进行相应的整改落实。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720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B63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绩效信息公开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绩效信息是否按照规定的内容和时限，进行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双平台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公开。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公开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绩效信息按照规定的内容和时限在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双平台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进行公开得权重分，否则每发现不符合规范处，扣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20%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权重分，扣完为止。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B13CF5" w:rsidTr="00CA263C">
        <w:trPr>
          <w:trHeight w:val="720"/>
          <w:jc w:val="center"/>
        </w:trPr>
        <w:tc>
          <w:tcPr>
            <w:tcW w:w="709" w:type="dxa"/>
            <w:vMerge w:val="restart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重点工作完成情况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(36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C1</w:t>
            </w:r>
            <w:r w:rsidR="00757A5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指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导推进国有企业改革和重组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(12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FD73E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11</w:t>
            </w:r>
            <w:r w:rsidR="009B7BF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推进国企重点改革任务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是否按上级部门要求推进国企改革。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推进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是否通过现代企业制度建设、公司治理结构、经济布局和结构战略性调整，有效推进国有企业改革重组。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B13CF5" w:rsidTr="00CA263C">
        <w:trPr>
          <w:trHeight w:val="480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B13CF5" w:rsidRDefault="00FD73E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12</w:t>
            </w:r>
            <w:r w:rsidR="009B7BF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推动产业链重组整合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是否有效推动产业链重组整合，提升产业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链供应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链韧性和安全水平。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转型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是否通过并购、重组、新设、整合、清退等方式推进产业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链供应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链补短板、锻长板，推动产业体系发展。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B13CF5" w:rsidTr="00CA263C">
        <w:trPr>
          <w:trHeight w:val="674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B13CF5" w:rsidRDefault="00FD73E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13</w:t>
            </w:r>
            <w:r w:rsidR="006211C7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国有资本</w:t>
            </w:r>
            <w:r w:rsidR="009B7BF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提质增效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B13CF5" w:rsidRDefault="006211C7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是否促进国有资本提质</w:t>
            </w:r>
            <w:r w:rsidR="009B7BF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增效。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提效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 w:rsidR="00757A5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盘活低效闲置资产。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 w:rsidR="00757A5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推进低效劣势企业清退。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B13CF5" w:rsidTr="00CA263C">
        <w:trPr>
          <w:trHeight w:val="701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C2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国资监管体制机制建设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FD73E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21</w:t>
            </w:r>
            <w:r w:rsidR="009B7BF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国资监管制度出台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国资监管制度是否不断健全完善。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健全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国资监管制度是否不断健全完善。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B13CF5" w:rsidTr="00CA263C">
        <w:trPr>
          <w:trHeight w:val="720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C3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国资监管有效落实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(12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FD73E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31</w:t>
            </w:r>
            <w:r w:rsidR="009B7BF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统计稽核监管企业国有资产情况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监管国有资产保值增值情况，是否做到数据及时有效、真实准确。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及时准确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定期统计稽核监管企业国有资产财务数据，是否做到数据及时有效、真实准确。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B13CF5" w:rsidTr="00CA263C">
        <w:trPr>
          <w:trHeight w:val="960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B13CF5" w:rsidRDefault="00FD73E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32</w:t>
            </w:r>
            <w:r w:rsidR="009B7BF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专项督查核查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通过专项督查核查发现问题，有效提升国资监管质量，促进国有资产保值增值。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有效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是否有效排查重大风险隐患。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是否有效督促监管企业落实问题整改。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B13CF5" w:rsidTr="00CA263C">
        <w:trPr>
          <w:trHeight w:val="816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B13CF5" w:rsidRDefault="00FD73E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33</w:t>
            </w:r>
            <w:r w:rsidR="009B7BF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勤廉国企建设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加强党建工作，建设勤廉国资。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规范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</w:t>
            </w:r>
            <w:r w:rsidR="006211C7"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有</w:t>
            </w:r>
            <w:r w:rsidR="006211C7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效加强国有企业党的建设工作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 w:rsidR="006211C7"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是</w:t>
            </w:r>
            <w:r w:rsidR="006211C7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否</w:t>
            </w:r>
            <w:proofErr w:type="gramStart"/>
            <w:r w:rsidR="006211C7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有力落实</w:t>
            </w:r>
            <w:proofErr w:type="gramEnd"/>
            <w:r w:rsidR="006211C7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全面从严治党主体责任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lastRenderedPageBreak/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lastRenderedPageBreak/>
              <w:t>4</w:t>
            </w:r>
          </w:p>
        </w:tc>
      </w:tr>
      <w:tr w:rsidR="00B13CF5" w:rsidTr="00CA263C">
        <w:trPr>
          <w:trHeight w:val="1114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C4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国资监管考核体系是否健全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FD73E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41</w:t>
            </w:r>
            <w:r w:rsidR="009B7BF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健全考核评价体系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企业绩效评价体系是否科学合理。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企业绩效评价体系是否实现监管企业全覆盖。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 w:rsidR="00193E9C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绩效评价体系是否发挥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有效约束激励作用。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B13CF5" w:rsidTr="00CA263C">
        <w:trPr>
          <w:trHeight w:val="385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C5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安全生产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FD73E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51</w:t>
            </w:r>
            <w:r w:rsidR="009B7BF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保障国有企业安全生产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保障国有企业安全经营生产，不发生重大安全事故。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安全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是否能保障国有企业安全经营生产，不发生重大安全事故。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B13CF5" w:rsidTr="00CA263C">
        <w:trPr>
          <w:trHeight w:val="1266"/>
          <w:jc w:val="center"/>
        </w:trPr>
        <w:tc>
          <w:tcPr>
            <w:tcW w:w="709" w:type="dxa"/>
            <w:vMerge w:val="restart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D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履职效益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(15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D1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经济效益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FD73E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D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11</w:t>
            </w:r>
            <w:r w:rsidR="009B7BF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监管企业经营效益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监管企业国有资产是否实现保值增值。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保值增值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净资产是否达到考核指标下达标准。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营业收入是否达到考核指标下达标准。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3.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利润总额是否达到考核指标下达标准。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4.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资产总额是否达到考核指标下达标准。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B13CF5" w:rsidTr="00CA263C">
        <w:trPr>
          <w:trHeight w:val="1237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D2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社会效益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FD73E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D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21</w:t>
            </w:r>
            <w:r w:rsidR="009B7BF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提高国有资产使用效率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国有资产使用效率是否提升。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提升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国资国企改革是否推进。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国资监管考核体系是否健全。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3.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国资监管制度是否完善。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4.</w:t>
            </w:r>
            <w:r w:rsidR="006211C7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是否按规定上缴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国有资本收益。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B13CF5" w:rsidTr="00CA263C">
        <w:trPr>
          <w:trHeight w:val="829"/>
          <w:jc w:val="center"/>
        </w:trPr>
        <w:tc>
          <w:tcPr>
            <w:tcW w:w="709" w:type="dxa"/>
            <w:vMerge/>
            <w:vAlign w:val="center"/>
          </w:tcPr>
          <w:p w:rsidR="00B13CF5" w:rsidRDefault="00B13CF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D3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满意度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FD73E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D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31</w:t>
            </w:r>
            <w:r w:rsidR="009B7BF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提供监管服务满意度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服务对象是否对监管服务满意。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满意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1.12345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工单办理评价满意度在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90%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监管企业是否满意。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项各占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1/2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权重分，符合得对应权重分，否则不得分。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B13CF5" w:rsidTr="00CA263C">
        <w:trPr>
          <w:trHeight w:val="983"/>
          <w:jc w:val="center"/>
        </w:trPr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E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可持续发展能力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E1 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信息化建设情况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29" w:type="dxa"/>
            <w:vAlign w:val="center"/>
          </w:tcPr>
          <w:p w:rsidR="00B13CF5" w:rsidRDefault="00FD73E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E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11</w:t>
            </w:r>
            <w:r w:rsidR="009B7BFE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信息系统更新改造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信息系统改造升级是否符合工作实际需要。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有效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信息系统改造升级是否满足实际工作需求。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B13CF5" w:rsidTr="00CA263C">
        <w:trPr>
          <w:trHeight w:val="270"/>
          <w:jc w:val="center"/>
        </w:trPr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410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vAlign w:val="center"/>
          </w:tcPr>
          <w:p w:rsidR="00B13CF5" w:rsidRDefault="009B7BF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B13CF5" w:rsidRDefault="00CA263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  <w:t>00</w:t>
            </w:r>
          </w:p>
        </w:tc>
      </w:tr>
    </w:tbl>
    <w:p w:rsidR="00B13CF5" w:rsidRDefault="00B13CF5">
      <w:pPr>
        <w:rPr>
          <w:rFonts w:ascii="Times New Roman" w:hAnsi="Times New Roman"/>
        </w:rPr>
      </w:pPr>
    </w:p>
    <w:sectPr w:rsidR="00B13CF5">
      <w:footerReference w:type="default" r:id="rId8"/>
      <w:pgSz w:w="11906" w:h="16838"/>
      <w:pgMar w:top="1701" w:right="1531" w:bottom="1928" w:left="1531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8F1" w:rsidRDefault="006758F1">
      <w:r>
        <w:separator/>
      </w:r>
    </w:p>
  </w:endnote>
  <w:endnote w:type="continuationSeparator" w:id="0">
    <w:p w:rsidR="006758F1" w:rsidRDefault="0067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46C" w:rsidRDefault="00D3446C">
    <w:pPr>
      <w:pStyle w:val="a3"/>
      <w:jc w:val="center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/>
        <w:sz w:val="28"/>
        <w:szCs w:val="28"/>
      </w:rPr>
      <w:fldChar w:fldCharType="begin"/>
    </w:r>
    <w:r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eastAsiaTheme="minorEastAsia" w:hAnsiTheme="minorEastAsia"/>
        <w:sz w:val="28"/>
        <w:szCs w:val="28"/>
      </w:rPr>
      <w:fldChar w:fldCharType="separate"/>
    </w:r>
    <w:r w:rsidR="007C47B6" w:rsidRPr="007C47B6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7C47B6">
      <w:rPr>
        <w:rFonts w:asciiTheme="minorEastAsia" w:eastAsiaTheme="minorEastAsia" w:hAnsiTheme="minorEastAsia"/>
        <w:noProof/>
        <w:sz w:val="28"/>
        <w:szCs w:val="28"/>
      </w:rPr>
      <w:t xml:space="preserve"> 4 -</w:t>
    </w:r>
    <w:r>
      <w:rPr>
        <w:rFonts w:asciiTheme="minorEastAsia" w:eastAsiaTheme="minorEastAsia" w:hAnsiTheme="minorEastAsia"/>
        <w:sz w:val="28"/>
        <w:szCs w:val="28"/>
      </w:rPr>
      <w:fldChar w:fldCharType="end"/>
    </w:r>
  </w:p>
  <w:p w:rsidR="00D3446C" w:rsidRDefault="00D3446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8F1" w:rsidRDefault="006758F1">
      <w:r>
        <w:separator/>
      </w:r>
    </w:p>
  </w:footnote>
  <w:footnote w:type="continuationSeparator" w:id="0">
    <w:p w:rsidR="006758F1" w:rsidRDefault="00675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none"/>
      <w:suff w:val="nothing"/>
      <w:lvlText w:val="第二章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6C"/>
    <w:rsid w:val="0006245E"/>
    <w:rsid w:val="000E551F"/>
    <w:rsid w:val="0013610C"/>
    <w:rsid w:val="00193E9C"/>
    <w:rsid w:val="001A357A"/>
    <w:rsid w:val="001D6F02"/>
    <w:rsid w:val="001E150D"/>
    <w:rsid w:val="00237C6F"/>
    <w:rsid w:val="00276297"/>
    <w:rsid w:val="00284FCD"/>
    <w:rsid w:val="002B21B7"/>
    <w:rsid w:val="002D503B"/>
    <w:rsid w:val="002F3DCA"/>
    <w:rsid w:val="00315AFA"/>
    <w:rsid w:val="003212A3"/>
    <w:rsid w:val="00331956"/>
    <w:rsid w:val="00353C1A"/>
    <w:rsid w:val="003E406C"/>
    <w:rsid w:val="003E6073"/>
    <w:rsid w:val="00451DC4"/>
    <w:rsid w:val="00587D84"/>
    <w:rsid w:val="005B2515"/>
    <w:rsid w:val="006211C7"/>
    <w:rsid w:val="00636A7C"/>
    <w:rsid w:val="00642A42"/>
    <w:rsid w:val="00670B6C"/>
    <w:rsid w:val="006758F1"/>
    <w:rsid w:val="00687C50"/>
    <w:rsid w:val="006A05B6"/>
    <w:rsid w:val="006B6612"/>
    <w:rsid w:val="006D0D21"/>
    <w:rsid w:val="00756AA0"/>
    <w:rsid w:val="00757A5E"/>
    <w:rsid w:val="007C47B6"/>
    <w:rsid w:val="0083636C"/>
    <w:rsid w:val="008812ED"/>
    <w:rsid w:val="008869EF"/>
    <w:rsid w:val="008C6E97"/>
    <w:rsid w:val="008E1A14"/>
    <w:rsid w:val="00903571"/>
    <w:rsid w:val="0095396A"/>
    <w:rsid w:val="009557C8"/>
    <w:rsid w:val="009A6E17"/>
    <w:rsid w:val="009B7BFE"/>
    <w:rsid w:val="00A40330"/>
    <w:rsid w:val="00A52FD8"/>
    <w:rsid w:val="00AD1849"/>
    <w:rsid w:val="00B051B8"/>
    <w:rsid w:val="00B13CF5"/>
    <w:rsid w:val="00BE6423"/>
    <w:rsid w:val="00C126F7"/>
    <w:rsid w:val="00C664A6"/>
    <w:rsid w:val="00CA263C"/>
    <w:rsid w:val="00CB5FE7"/>
    <w:rsid w:val="00CD2398"/>
    <w:rsid w:val="00D22A9D"/>
    <w:rsid w:val="00D3446C"/>
    <w:rsid w:val="00D61F19"/>
    <w:rsid w:val="00DB0756"/>
    <w:rsid w:val="00DB4D3B"/>
    <w:rsid w:val="00DF0181"/>
    <w:rsid w:val="00E36BE1"/>
    <w:rsid w:val="00E60708"/>
    <w:rsid w:val="00E63769"/>
    <w:rsid w:val="00EF29D8"/>
    <w:rsid w:val="00F019E7"/>
    <w:rsid w:val="00FB7850"/>
    <w:rsid w:val="00FC08A2"/>
    <w:rsid w:val="00FD73EB"/>
    <w:rsid w:val="3BE4AD75"/>
    <w:rsid w:val="7F73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3E2FBB-517E-42EF-996C-CD762E68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3446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3446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2024-01-08T09:12:00Z</cp:lastPrinted>
  <dcterms:created xsi:type="dcterms:W3CDTF">2023-07-20T16:36:00Z</dcterms:created>
  <dcterms:modified xsi:type="dcterms:W3CDTF">2024-09-12T07:18:00Z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